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sz w:val="44"/>
          <w:szCs w:val="44"/>
          <w:lang w:eastAsia="zh-CN"/>
        </w:rPr>
      </w:pPr>
      <w:r>
        <w:rPr>
          <w:rFonts w:hint="eastAsia" w:asciiTheme="majorEastAsia" w:hAnsiTheme="majorEastAsia" w:eastAsiaTheme="majorEastAsia"/>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p>
    <w:p>
      <w:pPr>
        <w:rPr>
          <w:rFonts w:asciiTheme="majorEastAsia" w:hAnsiTheme="majorEastAsia" w:eastAsiaTheme="majorEastAsia"/>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ascii="黑体" w:hAnsi="黑体" w:eastAsia="黑体"/>
          <w:b/>
          <w:bCs/>
          <w:color w:val="000000"/>
          <w:sz w:val="48"/>
          <w:szCs w:val="48"/>
        </w:rPr>
      </w:pPr>
    </w:p>
    <w:p>
      <w:pPr>
        <w:spacing w:line="400" w:lineRule="exact"/>
        <w:jc w:val="center"/>
        <w:rPr>
          <w:rFonts w:ascii="黑体" w:hAnsi="黑体" w:eastAsia="黑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黑体" w:hAnsi="黑体" w:eastAsia="黑体"/>
          <w:b/>
          <w:bCs/>
          <w:color w:val="000000"/>
          <w:sz w:val="44"/>
          <w:szCs w:val="44"/>
          <w:lang w:val="en-US" w:eastAsia="zh-CN"/>
        </w:rPr>
      </w:pPr>
      <w:r>
        <w:rPr>
          <w:rFonts w:hint="eastAsia" w:ascii="黑体" w:hAnsi="黑体" w:eastAsia="黑体"/>
          <w:b/>
          <w:bCs/>
          <w:color w:val="000000"/>
          <w:sz w:val="44"/>
          <w:szCs w:val="44"/>
          <w:lang w:val="en-US" w:eastAsia="zh-CN"/>
        </w:rPr>
        <w:t>2024线性代数考纲变化重点模块解析</w:t>
      </w: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sz w:val="36"/>
          <w:szCs w:val="36"/>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黑体" w:hAnsi="黑体" w:eastAsia="黑体"/>
          <w:b/>
          <w:bCs/>
          <w:color w:val="000000"/>
          <w:sz w:val="36"/>
          <w:szCs w:val="36"/>
        </w:rPr>
        <w:t>（</w:t>
      </w:r>
      <w:r>
        <w:rPr>
          <w:rFonts w:hint="eastAsia" w:ascii="黑体" w:hAnsi="黑体" w:eastAsia="黑体"/>
          <w:b/>
          <w:bCs/>
          <w:color w:val="000000"/>
          <w:sz w:val="36"/>
          <w:szCs w:val="36"/>
          <w:lang w:val="en-US" w:eastAsia="zh-CN"/>
        </w:rPr>
        <w:t>科目</w:t>
      </w:r>
      <w:r>
        <w:rPr>
          <w:rFonts w:hint="eastAsia" w:ascii="黑体" w:hAnsi="黑体" w:eastAsia="黑体"/>
          <w:b/>
          <w:bCs/>
          <w:color w:val="000000"/>
          <w:sz w:val="36"/>
          <w:szCs w:val="36"/>
        </w:rPr>
        <w:t>：</w:t>
      </w:r>
      <w:r>
        <w:rPr>
          <w:rFonts w:hint="eastAsia" w:ascii="黑体" w:hAnsi="黑体" w:eastAsia="黑体"/>
          <w:b/>
          <w:bCs/>
          <w:color w:val="000000"/>
          <w:sz w:val="36"/>
          <w:szCs w:val="36"/>
          <w:lang w:val="en-US" w:eastAsia="zh-CN"/>
        </w:rPr>
        <w:t>数二</w:t>
      </w:r>
      <w:r>
        <w:rPr>
          <w:rFonts w:hint="eastAsia" w:ascii="黑体" w:hAnsi="黑体" w:eastAsia="黑体"/>
          <w:b/>
          <w:bCs/>
          <w:color w:val="000000"/>
          <w:sz w:val="36"/>
          <w:szCs w:val="36"/>
        </w:rPr>
        <w:t>）</w:t>
      </w:r>
    </w:p>
    <w:tbl>
      <w:tblPr>
        <w:tblStyle w:val="7"/>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
        <w:gridCol w:w="1169"/>
        <w:gridCol w:w="3436"/>
        <w:gridCol w:w="396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9700" w:type="dxa"/>
            <w:gridSpan w:val="5"/>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2024年与2023年考</w:t>
            </w:r>
            <w:bookmarkStart w:id="0" w:name="_GoBack"/>
            <w:bookmarkEnd w:id="0"/>
            <w:r>
              <w:rPr>
                <w:rFonts w:hint="eastAsia" w:ascii="宋体" w:hAnsi="宋体" w:eastAsia="宋体" w:cs="宋体"/>
                <w:b/>
                <w:bCs/>
                <w:sz w:val="24"/>
                <w:szCs w:val="24"/>
              </w:rPr>
              <w:t>研线性代数大纲变化对比——数二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62" w:type="dxa"/>
            <w:vAlign w:val="center"/>
          </w:tcPr>
          <w:p>
            <w:pPr>
              <w:rPr>
                <w:rFonts w:hint="eastAsia" w:ascii="宋体" w:hAnsi="宋体" w:eastAsia="宋体" w:cs="宋体"/>
                <w:sz w:val="24"/>
                <w:szCs w:val="24"/>
              </w:rPr>
            </w:pPr>
            <w:r>
              <w:rPr>
                <w:rFonts w:hint="eastAsia" w:ascii="宋体" w:hAnsi="宋体" w:eastAsia="宋体" w:cs="宋体"/>
                <w:sz w:val="24"/>
                <w:szCs w:val="24"/>
              </w:rPr>
              <w:t>　</w:t>
            </w:r>
          </w:p>
        </w:tc>
        <w:tc>
          <w:tcPr>
            <w:tcW w:w="1169"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章节</w:t>
            </w:r>
          </w:p>
        </w:tc>
        <w:tc>
          <w:tcPr>
            <w:tcW w:w="343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2023年数学考试大纲考试内容和考试要求</w:t>
            </w:r>
          </w:p>
        </w:tc>
        <w:tc>
          <w:tcPr>
            <w:tcW w:w="3969"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2024年数学考试大纲考试内容和考试要求</w:t>
            </w:r>
          </w:p>
        </w:tc>
        <w:tc>
          <w:tcPr>
            <w:tcW w:w="76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变化</w:t>
            </w:r>
          </w:p>
          <w:p>
            <w:pPr>
              <w:jc w:val="center"/>
              <w:rPr>
                <w:rFonts w:hint="eastAsia" w:ascii="宋体" w:hAnsi="宋体" w:eastAsia="宋体" w:cs="宋体"/>
                <w:b/>
                <w:bCs/>
                <w:sz w:val="24"/>
                <w:szCs w:val="24"/>
              </w:rPr>
            </w:pPr>
            <w:r>
              <w:rPr>
                <w:rFonts w:hint="eastAsia" w:ascii="宋体" w:hAnsi="宋体" w:eastAsia="宋体" w:cs="宋体"/>
                <w:b/>
                <w:bCs/>
                <w:sz w:val="24"/>
                <w:szCs w:val="24"/>
              </w:rPr>
              <w:t>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362" w:type="dxa"/>
            <w:vMerge w:val="restart"/>
            <w:shd w:val="clear" w:color="auto" w:fill="00CCFF"/>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线性代数</w:t>
            </w:r>
          </w:p>
        </w:tc>
        <w:tc>
          <w:tcPr>
            <w:tcW w:w="1169" w:type="dxa"/>
            <w:vAlign w:val="center"/>
          </w:tcPr>
          <w:p>
            <w:pPr>
              <w:rPr>
                <w:rFonts w:hint="eastAsia" w:ascii="宋体" w:hAnsi="宋体" w:eastAsia="宋体" w:cs="宋体"/>
                <w:sz w:val="24"/>
                <w:szCs w:val="24"/>
              </w:rPr>
            </w:pPr>
            <w:r>
              <w:rPr>
                <w:rFonts w:hint="eastAsia" w:ascii="宋体" w:hAnsi="宋体" w:eastAsia="宋体" w:cs="宋体"/>
                <w:b/>
                <w:bCs/>
                <w:sz w:val="24"/>
                <w:szCs w:val="24"/>
              </w:rPr>
              <w:t>一、行列式</w:t>
            </w:r>
          </w:p>
        </w:tc>
        <w:tc>
          <w:tcPr>
            <w:tcW w:w="3436" w:type="dxa"/>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行列式的概念和基本性质　行列式按行（列）展开定理</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1．了解行列式的概念，掌握行列式的性质．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2．会应用行列式的性质和行列式按行（列）展开定理计算行列式．</w:t>
            </w:r>
          </w:p>
        </w:tc>
        <w:tc>
          <w:tcPr>
            <w:tcW w:w="3969" w:type="dxa"/>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行列式的概念和基本性质　行列式按行（列）展开定理</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1．了解行列式的概念，掌握行列式的性质．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2．会应用行列式的性质和行列式按行（列）展开定理计算行列式．</w:t>
            </w:r>
          </w:p>
        </w:tc>
        <w:tc>
          <w:tcPr>
            <w:tcW w:w="764" w:type="dxa"/>
            <w:vAlign w:val="center"/>
          </w:tcPr>
          <w:p>
            <w:pPr>
              <w:spacing w:after="240"/>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0" w:hRule="atLeast"/>
        </w:trPr>
        <w:tc>
          <w:tcPr>
            <w:tcW w:w="362" w:type="dxa"/>
            <w:vMerge w:val="continue"/>
            <w:vAlign w:val="center"/>
          </w:tcPr>
          <w:p>
            <w:pPr>
              <w:rPr>
                <w:rFonts w:hint="eastAsia" w:ascii="宋体" w:hAnsi="宋体" w:eastAsia="宋体" w:cs="宋体"/>
                <w:b/>
                <w:bCs/>
                <w:sz w:val="24"/>
                <w:szCs w:val="24"/>
              </w:rPr>
            </w:pPr>
          </w:p>
        </w:tc>
        <w:tc>
          <w:tcPr>
            <w:tcW w:w="1169" w:type="dxa"/>
            <w:vAlign w:val="center"/>
          </w:tcPr>
          <w:p>
            <w:pPr>
              <w:rPr>
                <w:rFonts w:hint="eastAsia" w:ascii="宋体" w:hAnsi="宋体" w:eastAsia="宋体" w:cs="宋体"/>
                <w:sz w:val="24"/>
                <w:szCs w:val="24"/>
              </w:rPr>
            </w:pPr>
            <w:r>
              <w:rPr>
                <w:rFonts w:hint="eastAsia" w:ascii="宋体" w:hAnsi="宋体" w:eastAsia="宋体" w:cs="宋体"/>
                <w:b/>
                <w:bCs/>
                <w:sz w:val="24"/>
                <w:szCs w:val="24"/>
              </w:rPr>
              <w:t>二、矩阵</w:t>
            </w:r>
          </w:p>
        </w:tc>
        <w:tc>
          <w:tcPr>
            <w:tcW w:w="3436"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矩阵的概念　矩阵的线性运算　矩阵的乘法　方阵的幂　方阵乘积的行列式　矩阵的转置　逆矩阵的概念和性质　矩阵可逆的充分必要条件　伴随矩阵　矩阵的初等变换　初等矩阵　矩阵的秩　矩阵的等价 分块矩阵及其运算　</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1．理解矩阵的概念，了解单位矩阵、数量矩阵、对角矩阵、三角矩阵、对称矩阵、反对称矩阵和正交矩阵以及它们的性质．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2．掌握矩阵的线性运算、乘法、转置以及它们的运算规律，了解方阵的幂与方阵乘积的行列式的性质．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3．理解逆矩阵的概念，掌握逆矩阵的性质以及矩阵可逆的充分必要条件．理解伴随矩阵的概念，会用伴随矩阵求逆矩阵．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4．了解矩阵初等变换的概念，了解初等矩阵的性质和矩阵等价的概念，理解矩阵的秩的概念，掌握用初等变换求矩阵的秩和逆矩阵的方法．                                </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5．了解分块矩阵及其运算．</w:t>
            </w:r>
          </w:p>
        </w:tc>
        <w:tc>
          <w:tcPr>
            <w:tcW w:w="3969"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矩阵的概念　矩阵的线性运算　矩阵的乘法　方阵的幂　方阵乘积的行列式　矩阵的转置　逆矩阵的概念和性质　矩阵可逆的充分必要条件　伴随矩阵　矩阵的初等变换　初等矩阵　矩阵的秩　矩阵的等价 分块矩阵及其运算　</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1．理解矩阵的概念，了解单位矩阵、数量矩阵、对角矩阵、三角矩阵、对称矩阵、反对称矩阵和正交矩阵以及它们的性质．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2．掌握矩阵的线性运算、乘法、转置以及它们的运算规律，了解方阵的幂与方阵乘积的行列式的性质．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3．理解逆矩阵的概念，掌握逆矩阵的性质以及矩阵可逆的充分必要条件．理解伴随矩阵的概念，会用伴随矩阵求逆矩阵．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4．了解矩阵初等变换的概念，了解初等矩阵的性质和矩阵等价的概念，理解矩阵的秩的概念，掌握用初等变换求矩阵的秩和逆矩阵的方法．                                </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5．了解分块矩阵及其运算．</w:t>
            </w:r>
          </w:p>
        </w:tc>
        <w:tc>
          <w:tcPr>
            <w:tcW w:w="764" w:type="dxa"/>
            <w:vAlign w:val="center"/>
          </w:tcPr>
          <w:p>
            <w:pPr>
              <w:spacing w:after="240"/>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362" w:type="dxa"/>
            <w:vMerge w:val="continue"/>
            <w:vAlign w:val="center"/>
          </w:tcPr>
          <w:p>
            <w:pPr>
              <w:rPr>
                <w:rFonts w:hint="eastAsia" w:ascii="宋体" w:hAnsi="宋体" w:eastAsia="宋体" w:cs="宋体"/>
                <w:b/>
                <w:bCs/>
                <w:sz w:val="24"/>
                <w:szCs w:val="24"/>
              </w:rPr>
            </w:pPr>
          </w:p>
        </w:tc>
        <w:tc>
          <w:tcPr>
            <w:tcW w:w="1169" w:type="dxa"/>
            <w:vAlign w:val="center"/>
          </w:tcPr>
          <w:p>
            <w:pPr>
              <w:rPr>
                <w:rFonts w:hint="eastAsia" w:ascii="宋体" w:hAnsi="宋体" w:eastAsia="宋体" w:cs="宋体"/>
                <w:sz w:val="24"/>
                <w:szCs w:val="24"/>
              </w:rPr>
            </w:pPr>
            <w:r>
              <w:rPr>
                <w:rFonts w:hint="eastAsia" w:ascii="宋体" w:hAnsi="宋体" w:eastAsia="宋体" w:cs="宋体"/>
                <w:b/>
                <w:bCs/>
                <w:sz w:val="24"/>
                <w:szCs w:val="24"/>
              </w:rPr>
              <w:t>三、向量</w:t>
            </w:r>
          </w:p>
        </w:tc>
        <w:tc>
          <w:tcPr>
            <w:tcW w:w="3436"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向量的概念　向量的线性组合和线性表示　向量组的线性相关与线性无关　向量组的极大线性无关组　等价向量组　向量组的秩　向量组的秩与矩阵的秩之间的关系　向量的内积　线性无关向量组的的正交规范化方法　</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1．理解</w:t>
            </w:r>
            <w:r>
              <w:rPr>
                <w:rFonts w:hint="eastAsia" w:ascii="宋体" w:hAnsi="宋体" w:eastAsia="宋体" w:cs="宋体"/>
                <w:position w:val="-6"/>
                <w:sz w:val="24"/>
                <w:szCs w:val="24"/>
              </w:rPr>
              <w:object>
                <v:shape id="_x0000_i1025" o:spt="75" type="#_x0000_t75" style="height:11.25pt;width:9.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ascii="宋体" w:hAnsi="宋体" w:eastAsia="宋体" w:cs="宋体"/>
                <w:sz w:val="24"/>
                <w:szCs w:val="24"/>
              </w:rPr>
              <w:t>维向量、向量的线性组合与线性表示的概念．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2．理解向量组线性相关、线性无关的概念，掌握向量组线性相关、线性无关的有关性质及判别法．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3．了解向量组的极大线性无关组和向量组的秩的概念，会求向量组的极大线性无关组及秩．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4．了解向量组等价的概念，了解矩阵的秩与其行（列）向量组的秩的关系．</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5．了解内积的概念，掌握线性无关向量组正交规范化的施密特（Schmidt）方法．</w:t>
            </w:r>
          </w:p>
        </w:tc>
        <w:tc>
          <w:tcPr>
            <w:tcW w:w="3969"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向量的概念　向量的线性组合和线性表示　向量组的线性相关与线性无关　向量组的极大线性无关组　等价向量组　向量组的秩　向量组的秩与矩阵的秩之间的关系　向量的内积　线性无关向量组的的正交规范化方法　</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1．理解</w:t>
            </w:r>
            <w:r>
              <w:rPr>
                <w:rFonts w:hint="eastAsia" w:ascii="宋体" w:hAnsi="宋体" w:eastAsia="宋体" w:cs="宋体"/>
                <w:position w:val="-6"/>
                <w:sz w:val="24"/>
                <w:szCs w:val="24"/>
              </w:rPr>
              <w:object>
                <v:shape id="_x0000_i1026" o:spt="75" type="#_x0000_t75" style="height:11.25pt;width:9.7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5">
                  <o:LockedField>false</o:LockedField>
                </o:OLEObject>
              </w:object>
            </w:r>
            <w:r>
              <w:rPr>
                <w:rFonts w:hint="eastAsia" w:ascii="宋体" w:hAnsi="宋体" w:eastAsia="宋体" w:cs="宋体"/>
                <w:sz w:val="24"/>
                <w:szCs w:val="24"/>
              </w:rPr>
              <w:t>维向量、向量的线性组合与线性表示的概念．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2．理解向量组线性相关、线性无关的概念，掌握向量组线性相关、线性无关的有关性质及判别法．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3．了解向量组的极大线性无关组和向量组的秩的概念，会求向量组的极大线性无关组及秩．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4．了解向量组等价的概念，了解矩阵的秩与其行（列）向量组的秩的关系．</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5．了解内积的概念，掌握线性无关向量组正交规范化的施密特（Schmidt）方法．</w:t>
            </w:r>
          </w:p>
        </w:tc>
        <w:tc>
          <w:tcPr>
            <w:tcW w:w="764" w:type="dxa"/>
            <w:vAlign w:val="center"/>
          </w:tcPr>
          <w:p>
            <w:pPr>
              <w:spacing w:after="240"/>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362" w:type="dxa"/>
            <w:vMerge w:val="continue"/>
            <w:vAlign w:val="center"/>
          </w:tcPr>
          <w:p>
            <w:pPr>
              <w:rPr>
                <w:rFonts w:hint="eastAsia" w:ascii="宋体" w:hAnsi="宋体" w:eastAsia="宋体" w:cs="宋体"/>
                <w:b/>
                <w:bCs/>
                <w:sz w:val="24"/>
                <w:szCs w:val="24"/>
              </w:rPr>
            </w:pPr>
          </w:p>
        </w:tc>
        <w:tc>
          <w:tcPr>
            <w:tcW w:w="1169" w:type="dxa"/>
            <w:vAlign w:val="center"/>
          </w:tcPr>
          <w:p>
            <w:pPr>
              <w:rPr>
                <w:rFonts w:hint="eastAsia" w:ascii="宋体" w:hAnsi="宋体" w:eastAsia="宋体" w:cs="宋体"/>
                <w:sz w:val="24"/>
                <w:szCs w:val="24"/>
              </w:rPr>
            </w:pPr>
            <w:r>
              <w:rPr>
                <w:rFonts w:hint="eastAsia" w:ascii="宋体" w:hAnsi="宋体" w:eastAsia="宋体" w:cs="宋体"/>
                <w:b/>
                <w:bCs/>
                <w:sz w:val="24"/>
                <w:szCs w:val="24"/>
              </w:rPr>
              <w:t>四、线性方程组</w:t>
            </w:r>
          </w:p>
        </w:tc>
        <w:tc>
          <w:tcPr>
            <w:tcW w:w="3436"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线性方程组的</w:t>
            </w:r>
            <w:r>
              <w:rPr>
                <w:rFonts w:hint="eastAsia" w:ascii="宋体" w:hAnsi="宋体" w:eastAsia="宋体" w:cs="宋体"/>
                <w:bCs/>
                <w:sz w:val="24"/>
                <w:szCs w:val="24"/>
              </w:rPr>
              <w:t>克拉默</w:t>
            </w:r>
            <w:r>
              <w:rPr>
                <w:rFonts w:hint="eastAsia" w:ascii="宋体" w:hAnsi="宋体" w:eastAsia="宋体" w:cs="宋体"/>
                <w:sz w:val="24"/>
                <w:szCs w:val="24"/>
              </w:rPr>
              <w:t>（Cramer）法则　齐次线性方程组有非零解的充分必要条件　非齐次线性方程组有解的充分必要条件　线性方程组解的性质和解的结构　齐次线性方程组的基础解系和通解　非齐次线性方程组的通解</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1．会用</w:t>
            </w:r>
            <w:r>
              <w:rPr>
                <w:rFonts w:hint="eastAsia" w:ascii="宋体" w:hAnsi="宋体" w:eastAsia="宋体" w:cs="宋体"/>
                <w:bCs/>
                <w:sz w:val="24"/>
                <w:szCs w:val="24"/>
              </w:rPr>
              <w:t>克拉默</w:t>
            </w:r>
            <w:r>
              <w:rPr>
                <w:rFonts w:hint="eastAsia" w:ascii="宋体" w:hAnsi="宋体" w:eastAsia="宋体" w:cs="宋体"/>
                <w:sz w:val="24"/>
                <w:szCs w:val="24"/>
              </w:rPr>
              <w:t>法则．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2．理解齐次线性方程组有非零解的充分必要条件及非齐次线性方程组有解的充分必要条件．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3．理解齐次线性方程组的基础解系及通解的概念，掌握齐次线性方程组的基础解系和通解的求法．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4．理解非齐次线性方程组的解的结构及通解的概念．</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5．会用初等行变换求解线性方程组．</w:t>
            </w:r>
          </w:p>
        </w:tc>
        <w:tc>
          <w:tcPr>
            <w:tcW w:w="3969"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线性方程组的</w:t>
            </w:r>
            <w:r>
              <w:rPr>
                <w:rFonts w:hint="eastAsia" w:ascii="宋体" w:hAnsi="宋体" w:eastAsia="宋体" w:cs="宋体"/>
                <w:bCs/>
                <w:sz w:val="24"/>
                <w:szCs w:val="24"/>
              </w:rPr>
              <w:t>克拉默</w:t>
            </w:r>
            <w:r>
              <w:rPr>
                <w:rFonts w:hint="eastAsia" w:ascii="宋体" w:hAnsi="宋体" w:eastAsia="宋体" w:cs="宋体"/>
                <w:sz w:val="24"/>
                <w:szCs w:val="24"/>
              </w:rPr>
              <w:t>（Cramer）法则　齐次线性方程组有非零解的充分必要条件　非齐次线性方程组有解的充分必要条件　线性方程组解的性质和解的结构　齐次线性方程组的基础解系和通解　非齐次线性方程组的通解</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1．会用</w:t>
            </w:r>
            <w:r>
              <w:rPr>
                <w:rFonts w:hint="eastAsia" w:ascii="宋体" w:hAnsi="宋体" w:eastAsia="宋体" w:cs="宋体"/>
                <w:bCs/>
                <w:sz w:val="24"/>
                <w:szCs w:val="24"/>
              </w:rPr>
              <w:t>克拉默</w:t>
            </w:r>
            <w:r>
              <w:rPr>
                <w:rFonts w:hint="eastAsia" w:ascii="宋体" w:hAnsi="宋体" w:eastAsia="宋体" w:cs="宋体"/>
                <w:sz w:val="24"/>
                <w:szCs w:val="24"/>
              </w:rPr>
              <w:t>法则．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2．理解齐次线性方程组有非零解的充分必要条件及非齐次线性方程组有解的充分必要条件．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3．理解齐次线性方程组的基础解系及通解的概念，掌握齐次线性方程组的基础解系和通解的求法．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4．理解非齐次线性方程组的解的结构及通解的概念．</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5．会用初等行变换求解线性方程组．</w:t>
            </w:r>
          </w:p>
        </w:tc>
        <w:tc>
          <w:tcPr>
            <w:tcW w:w="764" w:type="dxa"/>
            <w:vAlign w:val="center"/>
          </w:tcPr>
          <w:p>
            <w:pPr>
              <w:spacing w:after="240"/>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trPr>
        <w:tc>
          <w:tcPr>
            <w:tcW w:w="362" w:type="dxa"/>
            <w:vMerge w:val="continue"/>
            <w:vAlign w:val="center"/>
          </w:tcPr>
          <w:p>
            <w:pPr>
              <w:rPr>
                <w:rFonts w:hint="eastAsia" w:ascii="宋体" w:hAnsi="宋体" w:eastAsia="宋体" w:cs="宋体"/>
                <w:b/>
                <w:bCs/>
                <w:sz w:val="24"/>
                <w:szCs w:val="24"/>
              </w:rPr>
            </w:pPr>
          </w:p>
        </w:tc>
        <w:tc>
          <w:tcPr>
            <w:tcW w:w="1169" w:type="dxa"/>
            <w:vAlign w:val="center"/>
          </w:tcPr>
          <w:p>
            <w:pPr>
              <w:rPr>
                <w:rFonts w:hint="eastAsia" w:ascii="宋体" w:hAnsi="宋体" w:eastAsia="宋体" w:cs="宋体"/>
                <w:sz w:val="24"/>
                <w:szCs w:val="24"/>
              </w:rPr>
            </w:pPr>
            <w:r>
              <w:rPr>
                <w:rFonts w:hint="eastAsia" w:ascii="宋体" w:hAnsi="宋体" w:eastAsia="宋体" w:cs="宋体"/>
                <w:b/>
                <w:bCs/>
                <w:sz w:val="24"/>
                <w:szCs w:val="24"/>
              </w:rPr>
              <w:t>五、矩阵的特征值和特征向量</w:t>
            </w:r>
          </w:p>
        </w:tc>
        <w:tc>
          <w:tcPr>
            <w:tcW w:w="3436"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矩阵的特征值和特征向量的概念、性质  相似矩阵的概念及性质  矩阵可相似对角化的充分必要条件及相似对角矩阵  实对称矩阵的特征值、特征向量及其相似对角矩阵</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1．理解矩阵的特征值和特征向量的概念及性质，会求矩阵的特征值和特征向量．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2．理解相似矩阵的概念、性质及矩阵可相似对角化的充分必要条件，掌握将矩阵化为相似对角矩阵的方法．</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3．掌握实对称矩阵的特征值和特征向量的性质．</w:t>
            </w:r>
          </w:p>
        </w:tc>
        <w:tc>
          <w:tcPr>
            <w:tcW w:w="3969"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矩阵的特征值和特征向量的概念、性质  相似矩阵的概念及性质  矩阵可相似对角化的充分必要条件及相似对角矩阵  实对称矩阵的特征值、特征向量及其相似对角矩阵</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1．理解矩阵的特征值和特征向量的概念及性质，会求矩阵的特征值和特征向量．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2．理解相似矩阵的概念、性质及矩阵可相似对角化的充分必要条件，掌握将矩阵化为相似对角矩阵的方法．</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3．掌握实对称矩阵的特征值和特征向量的性质．</w:t>
            </w:r>
          </w:p>
        </w:tc>
        <w:tc>
          <w:tcPr>
            <w:tcW w:w="764" w:type="dxa"/>
            <w:vAlign w:val="center"/>
          </w:tcPr>
          <w:p>
            <w:pPr>
              <w:spacing w:after="240"/>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trPr>
        <w:tc>
          <w:tcPr>
            <w:tcW w:w="362" w:type="dxa"/>
            <w:vMerge w:val="continue"/>
            <w:vAlign w:val="center"/>
          </w:tcPr>
          <w:p>
            <w:pPr>
              <w:rPr>
                <w:rFonts w:hint="eastAsia" w:ascii="宋体" w:hAnsi="宋体" w:eastAsia="宋体" w:cs="宋体"/>
                <w:b/>
                <w:bCs/>
                <w:sz w:val="24"/>
                <w:szCs w:val="24"/>
              </w:rPr>
            </w:pPr>
          </w:p>
        </w:tc>
        <w:tc>
          <w:tcPr>
            <w:tcW w:w="1169" w:type="dxa"/>
            <w:vAlign w:val="center"/>
          </w:tcPr>
          <w:p>
            <w:pPr>
              <w:rPr>
                <w:rFonts w:hint="eastAsia" w:ascii="宋体" w:hAnsi="宋体" w:eastAsia="宋体" w:cs="宋体"/>
                <w:sz w:val="24"/>
                <w:szCs w:val="24"/>
              </w:rPr>
            </w:pPr>
            <w:r>
              <w:rPr>
                <w:rFonts w:hint="eastAsia" w:ascii="宋体" w:hAnsi="宋体" w:eastAsia="宋体" w:cs="宋体"/>
                <w:b/>
                <w:bCs/>
                <w:sz w:val="24"/>
                <w:szCs w:val="24"/>
              </w:rPr>
              <w:t>六、二次型</w:t>
            </w:r>
          </w:p>
        </w:tc>
        <w:tc>
          <w:tcPr>
            <w:tcW w:w="3436"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二次型及其矩阵表示  合同变换与合同矩阵  二次型的秩 惯性定理  二次型的标准形和规范形  用正交变换和配方法化二次型为标准形  二次型及其矩阵的正定性</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1．掌握二次型及其矩阵表示，了解二次型秩的概念，了解合同变换与合同矩阵的概念．了解二次型的标准形、规范形的概念及惯性定理</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2．掌握用正交变换化二次型为标准型的方法，会用配方法化二次型为标准形．</w:t>
            </w:r>
          </w:p>
          <w:p>
            <w:pPr>
              <w:spacing w:line="160" w:lineRule="atLeast"/>
              <w:ind w:firstLine="480" w:firstLineChars="200"/>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3．理解正定二次型、正定矩阵的概念，并掌握其判别法．</w:t>
            </w:r>
          </w:p>
          <w:p>
            <w:pPr>
              <w:snapToGrid w:val="0"/>
              <w:ind w:firstLine="480" w:firstLineChars="200"/>
              <w:rPr>
                <w:rFonts w:hint="eastAsia" w:ascii="宋体" w:hAnsi="宋体" w:eastAsia="宋体" w:cs="宋体"/>
                <w:sz w:val="24"/>
                <w:szCs w:val="24"/>
              </w:rPr>
            </w:pPr>
          </w:p>
        </w:tc>
        <w:tc>
          <w:tcPr>
            <w:tcW w:w="3969" w:type="dxa"/>
            <w:vAlign w:val="center"/>
          </w:tcPr>
          <w:p>
            <w:pPr>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二次型及其矩阵表示  合同变换与合同矩阵  二次型的秩 惯性定理  二次型的标准形和规范形  用正交变换和配方法化二次型为标准形  二次型及其矩阵的正定性</w:t>
            </w:r>
          </w:p>
          <w:p>
            <w:pPr>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1．掌握二次型及其矩阵表示，了解二次型秩的概念，了解合同变换与合同矩阵的概念．了解二次型的标准形、规范形的概念及惯性定理</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2．掌握用正交变换化二次型为标准型的方法，会用配方法化二次型为标准形．</w:t>
            </w:r>
          </w:p>
          <w:p>
            <w:pPr>
              <w:spacing w:line="160" w:lineRule="atLeast"/>
              <w:ind w:firstLine="480" w:firstLineChars="200"/>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3．理解正定二次型、正定矩阵的概念，并掌握其判别法．</w:t>
            </w:r>
          </w:p>
          <w:p>
            <w:pPr>
              <w:snapToGrid w:val="0"/>
              <w:ind w:firstLine="480" w:firstLineChars="200"/>
              <w:rPr>
                <w:rFonts w:hint="eastAsia" w:ascii="宋体" w:hAnsi="宋体" w:eastAsia="宋体" w:cs="宋体"/>
                <w:sz w:val="24"/>
                <w:szCs w:val="24"/>
              </w:rPr>
            </w:pPr>
          </w:p>
        </w:tc>
        <w:tc>
          <w:tcPr>
            <w:tcW w:w="764" w:type="dxa"/>
            <w:vAlign w:val="center"/>
          </w:tcPr>
          <w:p>
            <w:pPr>
              <w:spacing w:after="240"/>
              <w:rPr>
                <w:rFonts w:hint="eastAsia" w:ascii="宋体" w:hAnsi="宋体" w:eastAsia="宋体" w:cs="宋体"/>
                <w:b/>
                <w:color w:val="000000"/>
                <w:sz w:val="24"/>
                <w:szCs w:val="24"/>
              </w:rPr>
            </w:pPr>
            <w:r>
              <w:rPr>
                <w:rFonts w:hint="eastAsia" w:ascii="宋体" w:hAnsi="宋体" w:eastAsia="宋体" w:cs="宋体"/>
                <w:b/>
                <w:color w:val="FF0000"/>
                <w:sz w:val="24"/>
                <w:szCs w:val="24"/>
              </w:rPr>
              <w:t>对比：无变化</w:t>
            </w:r>
          </w:p>
        </w:tc>
      </w:tr>
    </w:tbl>
    <w:p>
      <w:pPr>
        <w:spacing w:line="480" w:lineRule="auto"/>
        <w:jc w:val="both"/>
        <w:rPr>
          <w:rFonts w:ascii="黑体" w:hAnsi="黑体" w:eastAsia="黑体"/>
          <w:b/>
          <w:bCs/>
          <w:color w:val="000000"/>
          <w:sz w:val="44"/>
          <w:szCs w:val="44"/>
        </w:rPr>
      </w:pPr>
    </w:p>
    <w:p>
      <w:pPr>
        <w:spacing w:line="480" w:lineRule="auto"/>
        <w:jc w:val="both"/>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widowControl/>
        <w:spacing w:line="276" w:lineRule="auto"/>
        <w:jc w:val="both"/>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16"/>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17"/>
                    <a:stretch>
                      <a:fillRect/>
                    </a:stretch>
                  </pic:blipFill>
                  <pic:spPr>
                    <a:xfrm>
                      <a:off x="0" y="0"/>
                      <a:ext cx="1162685" cy="1162685"/>
                    </a:xfrm>
                    <a:prstGeom prst="rect">
                      <a:avLst/>
                    </a:prstGeom>
                  </pic:spPr>
                </pic:pic>
              </a:graphicData>
            </a:graphic>
          </wp:inline>
        </w:drawing>
      </w:r>
    </w:p>
    <w:sectPr>
      <w:footerReference r:id="rId10" w:type="first"/>
      <w:footerReference r:id="rId8" w:type="default"/>
      <w:footerReference r:id="rId9"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万学海文考研（数学二）考纲变化重点模块解析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万学海文考研（数学二）考纲变化重点模块解析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万学海文考研（数学二）考纲变化重点模块解析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万学海文考研（数学二）考纲变化重点模块解析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D478A0"/>
    <w:rsid w:val="0BBF469F"/>
    <w:rsid w:val="0C383C36"/>
    <w:rsid w:val="119A4A44"/>
    <w:rsid w:val="19083D46"/>
    <w:rsid w:val="19570504"/>
    <w:rsid w:val="1F116060"/>
    <w:rsid w:val="206A0EC8"/>
    <w:rsid w:val="23856A2B"/>
    <w:rsid w:val="281A3F1C"/>
    <w:rsid w:val="28D24F2A"/>
    <w:rsid w:val="2BD31470"/>
    <w:rsid w:val="2D380F8C"/>
    <w:rsid w:val="2D744BB6"/>
    <w:rsid w:val="2E431D20"/>
    <w:rsid w:val="32A80CFC"/>
    <w:rsid w:val="383E62A4"/>
    <w:rsid w:val="3950297B"/>
    <w:rsid w:val="39AD727D"/>
    <w:rsid w:val="3ADE5D43"/>
    <w:rsid w:val="3BB64ECE"/>
    <w:rsid w:val="3CB6723B"/>
    <w:rsid w:val="3D4072C0"/>
    <w:rsid w:val="3D4E3B0C"/>
    <w:rsid w:val="3D6D1D0F"/>
    <w:rsid w:val="42E60A1F"/>
    <w:rsid w:val="430855FE"/>
    <w:rsid w:val="45CB2AC4"/>
    <w:rsid w:val="466B618C"/>
    <w:rsid w:val="468E284D"/>
    <w:rsid w:val="47703859"/>
    <w:rsid w:val="4BEA61FA"/>
    <w:rsid w:val="4CE02ECE"/>
    <w:rsid w:val="4D746D8D"/>
    <w:rsid w:val="4E165AE9"/>
    <w:rsid w:val="500E6B42"/>
    <w:rsid w:val="52C021D3"/>
    <w:rsid w:val="56723A8D"/>
    <w:rsid w:val="57E77FA0"/>
    <w:rsid w:val="616E7593"/>
    <w:rsid w:val="62C26935"/>
    <w:rsid w:val="62D3782F"/>
    <w:rsid w:val="64E32CB9"/>
    <w:rsid w:val="67884231"/>
    <w:rsid w:val="68314301"/>
    <w:rsid w:val="68C161FA"/>
    <w:rsid w:val="6A26210E"/>
    <w:rsid w:val="6AA918FF"/>
    <w:rsid w:val="6C815A25"/>
    <w:rsid w:val="6D673779"/>
    <w:rsid w:val="72523F71"/>
    <w:rsid w:val="746E3D1C"/>
    <w:rsid w:val="756B19C7"/>
    <w:rsid w:val="76116A13"/>
    <w:rsid w:val="76922075"/>
    <w:rsid w:val="77092EBE"/>
    <w:rsid w:val="7A674348"/>
    <w:rsid w:val="7B4A2B7F"/>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qFormat/>
    <w:uiPriority w:val="0"/>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customStyle="1" w:styleId="15">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6">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oleObject" Target="embeddings/oleObject2.bin"/><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1677</Words>
  <Characters>1707</Characters>
  <Lines>72</Lines>
  <Paragraphs>20</Paragraphs>
  <TotalTime>1</TotalTime>
  <ScaleCrop>false</ScaleCrop>
  <LinksUpToDate>false</LinksUpToDate>
  <CharactersWithSpaces>1777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大音希声</cp:lastModifiedBy>
  <dcterms:modified xsi:type="dcterms:W3CDTF">2023-09-22T07:46:43Z</dcterms:modified>
  <dc:title>万学海文考研（数学二）考纲变化重点模块解析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E0DEB5B7E4154139830C0E5CF3C22D74_13</vt:lpwstr>
  </property>
</Properties>
</file>